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6A01" w:rsidRDefault="00FE6A01" w:rsidP="007E4E45">
      <w:pPr>
        <w:spacing w:after="200" w:line="276" w:lineRule="auto"/>
        <w:rPr>
          <w:rFonts w:ascii="Calibri" w:eastAsia="Calibri" w:hAnsi="Calibri"/>
          <w:b/>
          <w:color w:val="0070C0"/>
          <w:sz w:val="22"/>
          <w:szCs w:val="22"/>
          <w:lang w:eastAsia="en-US"/>
        </w:rPr>
      </w:pPr>
    </w:p>
    <w:p w:rsidR="00395AD6" w:rsidRPr="00740A95" w:rsidRDefault="00395AD6" w:rsidP="00DE4F9A">
      <w:pPr>
        <w:spacing w:after="200" w:line="276" w:lineRule="auto"/>
        <w:jc w:val="center"/>
        <w:rPr>
          <w:rFonts w:ascii="Tahoma" w:eastAsia="Calibri" w:hAnsi="Tahoma" w:cs="Tahoma"/>
          <w:b/>
          <w:sz w:val="32"/>
          <w:szCs w:val="32"/>
          <w:lang w:eastAsia="en-US"/>
        </w:rPr>
      </w:pPr>
      <w:r w:rsidRPr="00740A95">
        <w:rPr>
          <w:rFonts w:ascii="Tahoma" w:eastAsia="Calibri" w:hAnsi="Tahoma" w:cs="Tahoma"/>
          <w:b/>
          <w:sz w:val="32"/>
          <w:szCs w:val="32"/>
          <w:lang w:eastAsia="en-US"/>
        </w:rPr>
        <w:t xml:space="preserve">La sédation consciente : l’utilisation du </w:t>
      </w:r>
      <w:proofErr w:type="spellStart"/>
      <w:r w:rsidRPr="00740A95">
        <w:rPr>
          <w:rFonts w:ascii="Tahoma" w:eastAsia="Calibri" w:hAnsi="Tahoma" w:cs="Tahoma"/>
          <w:b/>
          <w:sz w:val="32"/>
          <w:szCs w:val="32"/>
          <w:lang w:eastAsia="en-US"/>
        </w:rPr>
        <w:t>méopa</w:t>
      </w:r>
      <w:proofErr w:type="spellEnd"/>
      <w:r w:rsidRPr="00740A95">
        <w:rPr>
          <w:rFonts w:ascii="Tahoma" w:eastAsia="Calibri" w:hAnsi="Tahoma" w:cs="Tahoma"/>
          <w:b/>
          <w:sz w:val="32"/>
          <w:szCs w:val="32"/>
          <w:lang w:eastAsia="en-US"/>
        </w:rPr>
        <w:t xml:space="preserve"> au cabinet dentaire</w:t>
      </w:r>
    </w:p>
    <w:p w:rsidR="00395AD6" w:rsidRDefault="00395AD6" w:rsidP="007E4E45">
      <w:pPr>
        <w:spacing w:after="200" w:line="276" w:lineRule="auto"/>
        <w:rPr>
          <w:rFonts w:ascii="Tahoma" w:eastAsia="Calibri" w:hAnsi="Tahoma" w:cs="Tahoma"/>
          <w:b/>
          <w:lang w:eastAsia="en-US"/>
        </w:rPr>
      </w:pPr>
    </w:p>
    <w:p w:rsidR="00DE4F9A" w:rsidRDefault="00DE4F9A" w:rsidP="00395AD6">
      <w:pPr>
        <w:jc w:val="both"/>
        <w:rPr>
          <w:rFonts w:ascii="Tahoma" w:eastAsia="Arial Unicode MS" w:hAnsi="Tahoma"/>
          <w:b/>
          <w:sz w:val="22"/>
          <w:szCs w:val="22"/>
        </w:rPr>
      </w:pPr>
    </w:p>
    <w:p w:rsidR="00F7001D" w:rsidRPr="00740A95" w:rsidRDefault="00F7001D" w:rsidP="00395AD6">
      <w:pPr>
        <w:jc w:val="both"/>
        <w:rPr>
          <w:rFonts w:ascii="Tahoma" w:eastAsia="Arial Unicode MS" w:hAnsi="Tahoma"/>
          <w:b/>
        </w:rPr>
      </w:pPr>
      <w:r w:rsidRPr="00740A95">
        <w:rPr>
          <w:rFonts w:ascii="Tahoma" w:eastAsia="Arial Unicode MS" w:hAnsi="Tahoma"/>
          <w:b/>
        </w:rPr>
        <w:t xml:space="preserve">Les aspects pratiques </w:t>
      </w:r>
    </w:p>
    <w:p w:rsidR="00F7001D" w:rsidRPr="00740A95" w:rsidRDefault="00F7001D" w:rsidP="00395AD6">
      <w:pPr>
        <w:jc w:val="both"/>
        <w:rPr>
          <w:rFonts w:ascii="Tahoma" w:eastAsia="Arial Unicode MS" w:hAnsi="Tahoma"/>
        </w:rPr>
      </w:pPr>
    </w:p>
    <w:p w:rsidR="00395AD6" w:rsidRPr="00740A95" w:rsidRDefault="00FE6A01" w:rsidP="00395AD6">
      <w:pPr>
        <w:jc w:val="both"/>
        <w:rPr>
          <w:rFonts w:ascii="Tahoma" w:eastAsia="Arial Unicode MS" w:hAnsi="Tahoma"/>
        </w:rPr>
      </w:pPr>
      <w:r w:rsidRPr="00740A95">
        <w:rPr>
          <w:rFonts w:ascii="Tahoma" w:eastAsia="Arial Unicode MS" w:hAnsi="Tahoma"/>
        </w:rPr>
        <w:t>Le M</w:t>
      </w:r>
      <w:r w:rsidR="00395AD6" w:rsidRPr="00740A95">
        <w:rPr>
          <w:rFonts w:ascii="Tahoma" w:eastAsia="Arial Unicode MS" w:hAnsi="Tahoma"/>
        </w:rPr>
        <w:t>EOPA (mélange équimolaire d’oxygène et de protoxyde d’azote) est un gaz destiné à faciliter les soins dentaires chez les patients anxieux ou phobiques, comme les enfants, les personnes handicapées, majeures ou mineures.</w:t>
      </w:r>
    </w:p>
    <w:p w:rsidR="00395AD6" w:rsidRPr="00740A95" w:rsidRDefault="00395AD6" w:rsidP="00395AD6">
      <w:pPr>
        <w:jc w:val="both"/>
        <w:rPr>
          <w:rFonts w:ascii="Tahoma" w:eastAsia="Arial Unicode MS" w:hAnsi="Tahoma"/>
        </w:rPr>
      </w:pPr>
    </w:p>
    <w:p w:rsidR="00325D10" w:rsidRPr="00740A95" w:rsidRDefault="00395AD6" w:rsidP="00395AD6">
      <w:pPr>
        <w:jc w:val="both"/>
        <w:rPr>
          <w:rFonts w:ascii="Tahoma" w:eastAsia="Arial Unicode MS" w:hAnsi="Tahoma"/>
        </w:rPr>
      </w:pPr>
      <w:r w:rsidRPr="00740A95">
        <w:rPr>
          <w:rFonts w:ascii="Tahoma" w:eastAsia="Arial Unicode MS" w:hAnsi="Tahoma"/>
        </w:rPr>
        <w:t>Ce gaz est utilisé depuis plusieurs années en milieu hospitalier mais son utilisation a été élargie aux cabinets dentaires privés depuis 2010. De</w:t>
      </w:r>
      <w:r w:rsidR="00325D10" w:rsidRPr="00740A95">
        <w:rPr>
          <w:rFonts w:ascii="Tahoma" w:eastAsia="Arial Unicode MS" w:hAnsi="Tahoma"/>
        </w:rPr>
        <w:t xml:space="preserve"> nombreux praticiens se forment de plus en plus à cette nouvelle technique</w:t>
      </w:r>
      <w:r w:rsidR="00D83683" w:rsidRPr="00740A95">
        <w:rPr>
          <w:rFonts w:ascii="Tahoma" w:eastAsia="Arial Unicode MS" w:hAnsi="Tahoma"/>
        </w:rPr>
        <w:t xml:space="preserve"> : </w:t>
      </w:r>
      <w:r w:rsidR="004B1C0E" w:rsidRPr="00740A95">
        <w:rPr>
          <w:rFonts w:ascii="Tahoma" w:eastAsia="Arial Unicode MS" w:hAnsi="Tahoma"/>
        </w:rPr>
        <w:t xml:space="preserve">aujourd’hui, </w:t>
      </w:r>
      <w:r w:rsidR="00FE6A01" w:rsidRPr="00740A95">
        <w:rPr>
          <w:rFonts w:ascii="Tahoma" w:eastAsia="Arial Unicode MS" w:hAnsi="Tahoma"/>
        </w:rPr>
        <w:t>1.258 praticiens s</w:t>
      </w:r>
      <w:r w:rsidR="00D83683" w:rsidRPr="00740A95">
        <w:rPr>
          <w:rFonts w:ascii="Tahoma" w:eastAsia="Arial Unicode MS" w:hAnsi="Tahoma"/>
        </w:rPr>
        <w:t xml:space="preserve">eraient </w:t>
      </w:r>
      <w:r w:rsidR="00FE6A01" w:rsidRPr="00740A95">
        <w:rPr>
          <w:rFonts w:ascii="Tahoma" w:eastAsia="Arial Unicode MS" w:hAnsi="Tahoma"/>
        </w:rPr>
        <w:t>concernés soit 3,1%.</w:t>
      </w:r>
    </w:p>
    <w:p w:rsidR="00325D10" w:rsidRPr="00740A95" w:rsidRDefault="00325D10" w:rsidP="00395AD6">
      <w:pPr>
        <w:jc w:val="both"/>
        <w:rPr>
          <w:rFonts w:ascii="Tahoma" w:eastAsia="Arial Unicode MS" w:hAnsi="Tahoma"/>
        </w:rPr>
      </w:pPr>
    </w:p>
    <w:p w:rsidR="00F7001D" w:rsidRPr="00740A95" w:rsidRDefault="00D83683" w:rsidP="00395AD6">
      <w:pPr>
        <w:jc w:val="both"/>
        <w:rPr>
          <w:rFonts w:ascii="Tahoma" w:eastAsia="Arial Unicode MS" w:hAnsi="Tahoma"/>
          <w:i/>
        </w:rPr>
      </w:pPr>
      <w:r w:rsidRPr="00740A95">
        <w:rPr>
          <w:rFonts w:ascii="Tahoma" w:eastAsia="Arial Unicode MS" w:hAnsi="Tahoma"/>
        </w:rPr>
        <w:t xml:space="preserve">Cette pratique apporte une réelle </w:t>
      </w:r>
      <w:r w:rsidR="00FE6A01" w:rsidRPr="00740A95">
        <w:rPr>
          <w:rFonts w:ascii="Tahoma" w:eastAsia="Arial Unicode MS" w:hAnsi="Tahoma"/>
        </w:rPr>
        <w:t>plus value aux soins prodigués</w:t>
      </w:r>
      <w:r w:rsidRPr="00740A95">
        <w:rPr>
          <w:rFonts w:ascii="Tahoma" w:eastAsia="Arial Unicode MS" w:hAnsi="Tahoma"/>
        </w:rPr>
        <w:t xml:space="preserve"> puisque le MEOPA permet au patient de se détendre sans l’endormir </w:t>
      </w:r>
      <w:r w:rsidR="00750B2F" w:rsidRPr="00740A95">
        <w:rPr>
          <w:rFonts w:ascii="Tahoma" w:eastAsia="Arial Unicode MS" w:hAnsi="Tahoma"/>
        </w:rPr>
        <w:t xml:space="preserve">et de garder sa conscience tout au long des soins </w:t>
      </w:r>
      <w:r w:rsidRPr="00740A95">
        <w:rPr>
          <w:rFonts w:ascii="Tahoma" w:eastAsia="Arial Unicode MS" w:hAnsi="Tahoma"/>
        </w:rPr>
        <w:t>: c’est ce qu’on appelle « la sédation consciente ».</w:t>
      </w:r>
      <w:r w:rsidR="00F7001D" w:rsidRPr="00740A95">
        <w:rPr>
          <w:rFonts w:ascii="Tahoma" w:eastAsia="Arial Unicode MS" w:hAnsi="Tahoma"/>
        </w:rPr>
        <w:t xml:space="preserve"> La Société Française d’</w:t>
      </w:r>
      <w:r w:rsidR="009A2938" w:rsidRPr="00740A95">
        <w:rPr>
          <w:rFonts w:ascii="Tahoma" w:eastAsia="Arial Unicode MS" w:hAnsi="Tahoma"/>
        </w:rPr>
        <w:t>A</w:t>
      </w:r>
      <w:r w:rsidR="00F7001D" w:rsidRPr="00740A95">
        <w:rPr>
          <w:rFonts w:ascii="Tahoma" w:eastAsia="Arial Unicode MS" w:hAnsi="Tahoma"/>
        </w:rPr>
        <w:t xml:space="preserve">nesthésie </w:t>
      </w:r>
      <w:r w:rsidR="009A2938" w:rsidRPr="00740A95">
        <w:rPr>
          <w:rFonts w:ascii="Tahoma" w:eastAsia="Arial Unicode MS" w:hAnsi="Tahoma"/>
        </w:rPr>
        <w:t>R</w:t>
      </w:r>
      <w:r w:rsidR="00F7001D" w:rsidRPr="00740A95">
        <w:rPr>
          <w:rFonts w:ascii="Tahoma" w:eastAsia="Arial Unicode MS" w:hAnsi="Tahoma"/>
        </w:rPr>
        <w:t xml:space="preserve">éanimation </w:t>
      </w:r>
      <w:r w:rsidR="009A2938" w:rsidRPr="00740A95">
        <w:rPr>
          <w:rFonts w:ascii="Tahoma" w:eastAsia="Arial Unicode MS" w:hAnsi="Tahoma"/>
        </w:rPr>
        <w:t xml:space="preserve">(SFAR) </w:t>
      </w:r>
      <w:r w:rsidR="00F7001D" w:rsidRPr="00740A95">
        <w:rPr>
          <w:rFonts w:ascii="Tahoma" w:eastAsia="Arial Unicode MS" w:hAnsi="Tahoma"/>
        </w:rPr>
        <w:t>définit la sédation comme étant « </w:t>
      </w:r>
      <w:r w:rsidR="00F7001D" w:rsidRPr="00740A95">
        <w:rPr>
          <w:rFonts w:ascii="Tahoma" w:eastAsia="Arial Unicode MS" w:hAnsi="Tahoma"/>
          <w:i/>
        </w:rPr>
        <w:t xml:space="preserve">l’utilisation de </w:t>
      </w:r>
      <w:proofErr w:type="gramStart"/>
      <w:r w:rsidR="00F7001D" w:rsidRPr="00740A95">
        <w:rPr>
          <w:rFonts w:ascii="Tahoma" w:eastAsia="Arial Unicode MS" w:hAnsi="Tahoma"/>
          <w:i/>
        </w:rPr>
        <w:t>moyens</w:t>
      </w:r>
      <w:proofErr w:type="gramEnd"/>
      <w:r w:rsidR="00F7001D" w:rsidRPr="00740A95">
        <w:rPr>
          <w:rFonts w:ascii="Tahoma" w:eastAsia="Arial Unicode MS" w:hAnsi="Tahoma"/>
          <w:i/>
        </w:rPr>
        <w:t xml:space="preserve"> médicamenteux ou non destinés à assurer le confort physique ou psychique du pati</w:t>
      </w:r>
      <w:r w:rsidR="00DE4F9A" w:rsidRPr="00740A95">
        <w:rPr>
          <w:rFonts w:ascii="Tahoma" w:eastAsia="Arial Unicode MS" w:hAnsi="Tahoma"/>
          <w:i/>
        </w:rPr>
        <w:t>e</w:t>
      </w:r>
      <w:r w:rsidR="00F7001D" w:rsidRPr="00740A95">
        <w:rPr>
          <w:rFonts w:ascii="Tahoma" w:eastAsia="Arial Unicode MS" w:hAnsi="Tahoma"/>
          <w:i/>
        </w:rPr>
        <w:t>nt et à faciliter les techniques de soins ».</w:t>
      </w:r>
    </w:p>
    <w:p w:rsidR="00DE4F9A" w:rsidRPr="00740A95" w:rsidRDefault="00DE4F9A" w:rsidP="00395AD6">
      <w:pPr>
        <w:jc w:val="both"/>
        <w:rPr>
          <w:rFonts w:ascii="Tahoma" w:eastAsia="Arial Unicode MS" w:hAnsi="Tahoma"/>
          <w:i/>
        </w:rPr>
      </w:pPr>
    </w:p>
    <w:p w:rsidR="00F7001D" w:rsidRPr="00740A95" w:rsidRDefault="00F7001D" w:rsidP="00395AD6">
      <w:pPr>
        <w:jc w:val="both"/>
        <w:rPr>
          <w:rFonts w:ascii="Tahoma" w:eastAsia="Arial Unicode MS" w:hAnsi="Tahoma"/>
        </w:rPr>
      </w:pPr>
    </w:p>
    <w:p w:rsidR="00D83683" w:rsidRPr="00740A95" w:rsidRDefault="00DE4F9A" w:rsidP="00DE4F9A">
      <w:pPr>
        <w:jc w:val="center"/>
        <w:rPr>
          <w:rFonts w:ascii="Tahoma" w:eastAsia="Arial Unicode MS" w:hAnsi="Tahoma"/>
        </w:rPr>
      </w:pPr>
      <w:r w:rsidRPr="00740A95">
        <w:rPr>
          <w:rFonts w:ascii="Tahoma" w:eastAsia="Arial Unicode MS" w:hAnsi="Tahoma"/>
          <w:noProof/>
        </w:rPr>
        <w:drawing>
          <wp:inline distT="0" distB="0" distL="0" distR="0">
            <wp:extent cx="3876675" cy="2333758"/>
            <wp:effectExtent l="0" t="0" r="0" b="9525"/>
            <wp:docPr id="1" name="Image 1" descr="\\pxfil01\blan5ah\Documents\Mes images\kit me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xfil01\blan5ah\Documents\Mes images\kit meop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791" cy="233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683" w:rsidRPr="00740A95" w:rsidRDefault="00D83683" w:rsidP="00395AD6">
      <w:pPr>
        <w:jc w:val="both"/>
        <w:rPr>
          <w:rFonts w:ascii="Tahoma" w:eastAsia="Arial Unicode MS" w:hAnsi="Tahoma"/>
        </w:rPr>
      </w:pPr>
    </w:p>
    <w:p w:rsidR="00DE4F9A" w:rsidRPr="00740A95" w:rsidRDefault="00DE4F9A" w:rsidP="00395AD6">
      <w:pPr>
        <w:jc w:val="both"/>
        <w:rPr>
          <w:rFonts w:ascii="Tahoma" w:eastAsia="Arial Unicode MS" w:hAnsi="Tahoma"/>
        </w:rPr>
      </w:pPr>
    </w:p>
    <w:p w:rsidR="00DE4F9A" w:rsidRPr="00740A95" w:rsidRDefault="00DE4F9A" w:rsidP="00395AD6">
      <w:pPr>
        <w:jc w:val="both"/>
        <w:rPr>
          <w:rFonts w:ascii="Tahoma" w:eastAsia="Arial Unicode MS" w:hAnsi="Tahoma"/>
        </w:rPr>
      </w:pPr>
    </w:p>
    <w:p w:rsidR="007E4E45" w:rsidRPr="00740A95" w:rsidRDefault="00750B2F" w:rsidP="007E4E45">
      <w:pPr>
        <w:spacing w:after="200" w:line="276" w:lineRule="auto"/>
        <w:rPr>
          <w:rFonts w:ascii="Tahoma" w:eastAsia="Calibri" w:hAnsi="Tahoma" w:cs="Tahoma"/>
          <w:b/>
          <w:lang w:eastAsia="en-US"/>
        </w:rPr>
      </w:pPr>
      <w:r w:rsidRPr="00740A95">
        <w:rPr>
          <w:rFonts w:ascii="Tahoma" w:eastAsia="Calibri" w:hAnsi="Tahoma" w:cs="Tahoma"/>
          <w:b/>
          <w:lang w:eastAsia="en-US"/>
        </w:rPr>
        <w:t xml:space="preserve">La règlementation </w:t>
      </w:r>
      <w:r w:rsidR="007E4E45" w:rsidRPr="00740A95">
        <w:rPr>
          <w:rFonts w:ascii="Tahoma" w:eastAsia="Calibri" w:hAnsi="Tahoma" w:cs="Tahoma"/>
          <w:b/>
          <w:lang w:eastAsia="en-US"/>
        </w:rPr>
        <w:br/>
      </w:r>
    </w:p>
    <w:p w:rsidR="0080762D" w:rsidRPr="00740A95" w:rsidRDefault="00750B2F" w:rsidP="0080762D">
      <w:pPr>
        <w:spacing w:after="200" w:line="276" w:lineRule="auto"/>
        <w:rPr>
          <w:rFonts w:ascii="Tahoma" w:hAnsi="Tahoma" w:cs="Tahoma"/>
        </w:rPr>
      </w:pPr>
      <w:r w:rsidRPr="00740A95">
        <w:rPr>
          <w:rFonts w:ascii="Tahoma" w:eastAsia="Calibri" w:hAnsi="Tahoma" w:cs="Tahoma"/>
          <w:lang w:eastAsia="en-US"/>
        </w:rPr>
        <w:t xml:space="preserve">L’agence française de sécurité sanitaire des produits de santé (AFSSPS) conditionne cette nouvelle pratique à une formation spécifique. </w:t>
      </w:r>
      <w:hyperlink w:history="1">
        <w:r w:rsidR="0080762D" w:rsidRPr="00740A95">
          <w:rPr>
            <w:rStyle w:val="Lienhypertexte"/>
            <w:rFonts w:ascii="Tahoma" w:hAnsi="Tahoma" w:cs="Tahoma"/>
            <w:color w:val="auto"/>
            <w:u w:val="none"/>
          </w:rPr>
          <w:t xml:space="preserve">La liste des formations reconnues </w:t>
        </w:r>
        <w:r w:rsidR="0080762D" w:rsidRPr="00740A95">
          <w:rPr>
            <w:rStyle w:val="Lienhypertexte"/>
            <w:rFonts w:ascii="Tahoma" w:hAnsi="Tahoma" w:cs="Tahoma"/>
            <w:color w:val="auto"/>
            <w:u w:val="none"/>
          </w:rPr>
          <w:lastRenderedPageBreak/>
          <w:t>conformes par le Conseil de l’Ordre est en ligne sur le site www.ordrechirurgiens-dentistes.fr</w:t>
        </w:r>
      </w:hyperlink>
      <w:r w:rsidR="0080762D" w:rsidRPr="00740A95">
        <w:rPr>
          <w:rFonts w:ascii="Tahoma" w:hAnsi="Tahoma" w:cs="Tahoma"/>
        </w:rPr>
        <w:t xml:space="preserve">. </w:t>
      </w:r>
    </w:p>
    <w:p w:rsidR="004B7A35" w:rsidRPr="00740A95" w:rsidRDefault="0080762D" w:rsidP="0080762D">
      <w:pPr>
        <w:pStyle w:val="NormalWeb"/>
        <w:rPr>
          <w:rFonts w:ascii="Tahoma" w:hAnsi="Tahoma" w:cs="Tahoma"/>
        </w:rPr>
      </w:pPr>
      <w:r w:rsidRPr="00740A95">
        <w:rPr>
          <w:rFonts w:ascii="Tahoma" w:hAnsi="Tahoma" w:cs="Tahoma"/>
        </w:rPr>
        <w:t xml:space="preserve">Le praticien ne pourra faire sa demande d’aptitude à l’utilisation du </w:t>
      </w:r>
      <w:proofErr w:type="spellStart"/>
      <w:r w:rsidRPr="00740A95">
        <w:rPr>
          <w:rFonts w:ascii="Tahoma" w:hAnsi="Tahoma" w:cs="Tahoma"/>
        </w:rPr>
        <w:t>Méopa</w:t>
      </w:r>
      <w:proofErr w:type="spellEnd"/>
      <w:r w:rsidRPr="00740A95">
        <w:rPr>
          <w:rFonts w:ascii="Tahoma" w:hAnsi="Tahoma" w:cs="Tahoma"/>
        </w:rPr>
        <w:t xml:space="preserve"> auprès du Conseil National de l’Ordre qu’après avoir suivi cette formation</w:t>
      </w:r>
      <w:r w:rsidR="004B7A35" w:rsidRPr="00740A95">
        <w:rPr>
          <w:rFonts w:ascii="Tahoma" w:hAnsi="Tahoma" w:cs="Tahoma"/>
        </w:rPr>
        <w:t xml:space="preserve"> et doit lui communiquer les documents suivants :</w:t>
      </w:r>
    </w:p>
    <w:p w:rsidR="004B7A35" w:rsidRPr="00740A95" w:rsidRDefault="004B7A35" w:rsidP="004B7A35">
      <w:pPr>
        <w:pStyle w:val="NormalWeb"/>
        <w:numPr>
          <w:ilvl w:val="0"/>
          <w:numId w:val="2"/>
        </w:numPr>
        <w:rPr>
          <w:rFonts w:ascii="Tahoma" w:hAnsi="Tahoma" w:cs="Tahoma"/>
        </w:rPr>
      </w:pPr>
      <w:r w:rsidRPr="00740A95">
        <w:rPr>
          <w:rFonts w:ascii="Tahoma" w:hAnsi="Tahoma" w:cs="Tahoma"/>
        </w:rPr>
        <w:t>L’attestation de suivi de la formation MEOPA figurant sur la liste précitée</w:t>
      </w:r>
    </w:p>
    <w:p w:rsidR="004B7A35" w:rsidRPr="00740A95" w:rsidRDefault="004B7A35" w:rsidP="004B7A35">
      <w:pPr>
        <w:pStyle w:val="NormalWeb"/>
        <w:numPr>
          <w:ilvl w:val="0"/>
          <w:numId w:val="2"/>
        </w:numPr>
        <w:rPr>
          <w:rFonts w:ascii="Tahoma" w:hAnsi="Tahoma" w:cs="Tahoma"/>
        </w:rPr>
      </w:pPr>
      <w:r w:rsidRPr="00740A95">
        <w:rPr>
          <w:rFonts w:ascii="Tahoma" w:hAnsi="Tahoma" w:cs="Tahoma"/>
        </w:rPr>
        <w:t>Le justificatif de suivi d’une formation aux gestes d’urgence datant de moins de 5 ans</w:t>
      </w:r>
    </w:p>
    <w:p w:rsidR="008A601D" w:rsidRDefault="008A601D" w:rsidP="007E4E45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740A95">
        <w:rPr>
          <w:rFonts w:ascii="Tahoma" w:eastAsia="Calibri" w:hAnsi="Tahoma" w:cs="Tahoma"/>
          <w:lang w:eastAsia="en-US"/>
        </w:rPr>
        <w:t xml:space="preserve">En tout état de cause, cette pratique doit être effectuée dans des locaux adaptés, par un personnel médical ou paramédical spécifiquement formé et dont les connaissances sont périodiquement </w:t>
      </w:r>
      <w:proofErr w:type="spellStart"/>
      <w:r w:rsidRPr="00740A95">
        <w:rPr>
          <w:rFonts w:ascii="Tahoma" w:eastAsia="Calibri" w:hAnsi="Tahoma" w:cs="Tahoma"/>
          <w:lang w:eastAsia="en-US"/>
        </w:rPr>
        <w:t>réevaluées</w:t>
      </w:r>
      <w:proofErr w:type="spellEnd"/>
      <w:r w:rsidRPr="00740A95">
        <w:rPr>
          <w:rFonts w:ascii="Tahoma" w:eastAsia="Calibri" w:hAnsi="Tahoma" w:cs="Tahoma"/>
          <w:lang w:eastAsia="en-US"/>
        </w:rPr>
        <w:t>.</w:t>
      </w:r>
    </w:p>
    <w:p w:rsidR="0032085D" w:rsidRDefault="0032085D" w:rsidP="007E4E45">
      <w:pPr>
        <w:spacing w:after="200" w:line="276" w:lineRule="auto"/>
        <w:rPr>
          <w:rFonts w:ascii="Tahoma" w:eastAsia="Calibri" w:hAnsi="Tahoma" w:cs="Tahoma"/>
          <w:lang w:eastAsia="en-US"/>
        </w:rPr>
      </w:pPr>
    </w:p>
    <w:p w:rsidR="0032085D" w:rsidRDefault="0032085D" w:rsidP="007E4E45">
      <w:pPr>
        <w:spacing w:after="200" w:line="276" w:lineRule="auto"/>
        <w:rPr>
          <w:rFonts w:ascii="Tahoma" w:eastAsia="Calibri" w:hAnsi="Tahoma" w:cs="Tahoma"/>
          <w:lang w:eastAsia="en-US"/>
        </w:rPr>
      </w:pPr>
    </w:p>
    <w:p w:rsidR="0032085D" w:rsidRPr="00740A95" w:rsidRDefault="0032085D" w:rsidP="007E4E45">
      <w:pPr>
        <w:spacing w:after="200" w:line="276" w:lineRule="auto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Catherine BLANC Juriste expert</w:t>
      </w:r>
    </w:p>
    <w:p w:rsidR="008A601D" w:rsidRPr="00740A95" w:rsidRDefault="008A601D" w:rsidP="007E4E45">
      <w:pPr>
        <w:spacing w:after="200" w:line="276" w:lineRule="auto"/>
        <w:rPr>
          <w:rFonts w:ascii="Tahoma" w:eastAsia="Calibri" w:hAnsi="Tahoma" w:cs="Tahoma"/>
          <w:lang w:eastAsia="en-US"/>
        </w:rPr>
      </w:pPr>
    </w:p>
    <w:p w:rsidR="0080762D" w:rsidRPr="00740A95" w:rsidRDefault="0080762D" w:rsidP="0080762D">
      <w:pPr>
        <w:pStyle w:val="NormalWeb"/>
      </w:pPr>
      <w:r w:rsidRPr="00740A95">
        <w:t> </w:t>
      </w:r>
    </w:p>
    <w:p w:rsidR="0080762D" w:rsidRPr="00740A95" w:rsidRDefault="0080762D" w:rsidP="00FE6A01">
      <w:pPr>
        <w:spacing w:before="100" w:beforeAutospacing="1" w:after="100" w:afterAutospacing="1"/>
      </w:pPr>
    </w:p>
    <w:sectPr w:rsidR="0080762D" w:rsidRPr="00740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B7224"/>
    <w:multiLevelType w:val="hybridMultilevel"/>
    <w:tmpl w:val="3D52DB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7171C"/>
    <w:multiLevelType w:val="hybridMultilevel"/>
    <w:tmpl w:val="A99091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E45"/>
    <w:rsid w:val="000209AE"/>
    <w:rsid w:val="00035B5F"/>
    <w:rsid w:val="00073C24"/>
    <w:rsid w:val="00073C79"/>
    <w:rsid w:val="00097374"/>
    <w:rsid w:val="000D6D67"/>
    <w:rsid w:val="000F1C2C"/>
    <w:rsid w:val="00162E1A"/>
    <w:rsid w:val="0020512D"/>
    <w:rsid w:val="00210593"/>
    <w:rsid w:val="0022650F"/>
    <w:rsid w:val="00265D7A"/>
    <w:rsid w:val="0032085D"/>
    <w:rsid w:val="00325D10"/>
    <w:rsid w:val="0033452F"/>
    <w:rsid w:val="003632E2"/>
    <w:rsid w:val="003956B3"/>
    <w:rsid w:val="00395AD6"/>
    <w:rsid w:val="003F3A60"/>
    <w:rsid w:val="00417B91"/>
    <w:rsid w:val="00433D08"/>
    <w:rsid w:val="00476150"/>
    <w:rsid w:val="004A65D3"/>
    <w:rsid w:val="004B1C0E"/>
    <w:rsid w:val="004B7A35"/>
    <w:rsid w:val="004D073F"/>
    <w:rsid w:val="004F4846"/>
    <w:rsid w:val="005C6BBC"/>
    <w:rsid w:val="005F315C"/>
    <w:rsid w:val="006105D7"/>
    <w:rsid w:val="006E707B"/>
    <w:rsid w:val="006E75B2"/>
    <w:rsid w:val="006F0FF0"/>
    <w:rsid w:val="00740A95"/>
    <w:rsid w:val="00740E97"/>
    <w:rsid w:val="00750B2F"/>
    <w:rsid w:val="00761D9C"/>
    <w:rsid w:val="007D25DA"/>
    <w:rsid w:val="007E4E45"/>
    <w:rsid w:val="0080762D"/>
    <w:rsid w:val="00845CFE"/>
    <w:rsid w:val="00860FBD"/>
    <w:rsid w:val="008A601D"/>
    <w:rsid w:val="00924472"/>
    <w:rsid w:val="009A2938"/>
    <w:rsid w:val="009A6055"/>
    <w:rsid w:val="009D7194"/>
    <w:rsid w:val="00A20855"/>
    <w:rsid w:val="00A73F4D"/>
    <w:rsid w:val="00AA52DF"/>
    <w:rsid w:val="00B24F35"/>
    <w:rsid w:val="00B40D91"/>
    <w:rsid w:val="00BE16A2"/>
    <w:rsid w:val="00C07638"/>
    <w:rsid w:val="00D23142"/>
    <w:rsid w:val="00D83683"/>
    <w:rsid w:val="00DB58D9"/>
    <w:rsid w:val="00DD6F6C"/>
    <w:rsid w:val="00DE4F9A"/>
    <w:rsid w:val="00E36BBE"/>
    <w:rsid w:val="00F005AF"/>
    <w:rsid w:val="00F16025"/>
    <w:rsid w:val="00F45329"/>
    <w:rsid w:val="00F6585D"/>
    <w:rsid w:val="00F7001D"/>
    <w:rsid w:val="00F952F2"/>
    <w:rsid w:val="00FE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39A20E-AFDD-4A9F-BC01-B46F74F4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6A01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4F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4F9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0762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076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3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2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2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9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1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53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92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69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9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90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26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6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5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0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29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83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3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7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0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64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5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44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38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3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311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MACSF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 Catherine</dc:creator>
  <cp:lastModifiedBy>geromine fournier</cp:lastModifiedBy>
  <cp:revision>2</cp:revision>
  <cp:lastPrinted>2020-06-24T20:00:00Z</cp:lastPrinted>
  <dcterms:created xsi:type="dcterms:W3CDTF">2020-06-24T20:01:00Z</dcterms:created>
  <dcterms:modified xsi:type="dcterms:W3CDTF">2020-06-24T20:01:00Z</dcterms:modified>
</cp:coreProperties>
</file>